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F8A14" w14:textId="4283CFC7"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8E0A6D">
        <w:rPr>
          <w:rFonts w:cs="Arial"/>
          <w:noProof w:val="0"/>
          <w:sz w:val="24"/>
          <w:szCs w:val="24"/>
        </w:rPr>
        <w:t>6</w:t>
      </w:r>
      <w:r w:rsidRPr="0D18D305">
        <w:rPr>
          <w:rFonts w:cs="Arial"/>
          <w:noProof w:val="0"/>
          <w:sz w:val="24"/>
          <w:szCs w:val="24"/>
        </w:rPr>
        <w:t>-e</w:t>
      </w:r>
      <w:r>
        <w:tab/>
      </w:r>
      <w:r w:rsidRPr="0D18D305">
        <w:rPr>
          <w:rFonts w:cs="Arial"/>
          <w:noProof w:val="0"/>
          <w:sz w:val="24"/>
          <w:szCs w:val="24"/>
        </w:rPr>
        <w:t>R3-</w:t>
      </w:r>
      <w:r w:rsidR="00637E7A" w:rsidRPr="00637E7A">
        <w:rPr>
          <w:rFonts w:cs="Arial"/>
          <w:noProof w:val="0"/>
          <w:sz w:val="24"/>
          <w:szCs w:val="24"/>
        </w:rPr>
        <w:t>2</w:t>
      </w:r>
      <w:r w:rsidR="007938C5">
        <w:rPr>
          <w:rFonts w:cs="Arial"/>
          <w:noProof w:val="0"/>
          <w:sz w:val="24"/>
          <w:szCs w:val="24"/>
        </w:rPr>
        <w:t>2</w:t>
      </w:r>
      <w:r w:rsidR="008C0D54">
        <w:rPr>
          <w:rFonts w:cs="Arial"/>
          <w:noProof w:val="0"/>
          <w:sz w:val="24"/>
          <w:szCs w:val="24"/>
        </w:rPr>
        <w:t>325</w:t>
      </w:r>
      <w:r w:rsidR="00BD6B85">
        <w:rPr>
          <w:rFonts w:cs="Arial"/>
          <w:noProof w:val="0"/>
          <w:sz w:val="24"/>
          <w:szCs w:val="24"/>
        </w:rPr>
        <w:t>0</w:t>
      </w:r>
    </w:p>
    <w:bookmarkEnd w:id="0"/>
    <w:p w14:paraId="466100A6" w14:textId="7DC4A19F" w:rsidR="00372127" w:rsidRPr="00484DBF" w:rsidRDefault="008E0A6D" w:rsidP="00372127">
      <w:pPr>
        <w:pStyle w:val="Header"/>
        <w:tabs>
          <w:tab w:val="left" w:pos="2410"/>
        </w:tabs>
        <w:rPr>
          <w:rFonts w:eastAsia="MS Mincho" w:cs="Arial"/>
          <w:sz w:val="24"/>
          <w:szCs w:val="24"/>
          <w:lang w:val="en-US"/>
        </w:rPr>
      </w:pPr>
      <w:r>
        <w:rPr>
          <w:rFonts w:eastAsia="MS Mincho" w:cs="Arial"/>
          <w:sz w:val="24"/>
          <w:szCs w:val="24"/>
          <w:lang w:val="en-US"/>
        </w:rPr>
        <w:t>9-19 May</w:t>
      </w:r>
      <w:r w:rsidR="00843AA9" w:rsidRPr="00843AA9">
        <w:rPr>
          <w:rFonts w:eastAsia="MS Mincho" w:cs="Arial"/>
          <w:sz w:val="24"/>
          <w:szCs w:val="24"/>
          <w:lang w:val="en-US"/>
        </w:rPr>
        <w:t xml:space="preserve"> 2022</w:t>
      </w:r>
    </w:p>
    <w:p w14:paraId="2F96B0BD" w14:textId="77777777" w:rsidR="002F2360" w:rsidRPr="0087767E" w:rsidRDefault="002F2360" w:rsidP="002F2360">
      <w:pPr>
        <w:pStyle w:val="Header"/>
        <w:tabs>
          <w:tab w:val="left" w:pos="2410"/>
        </w:tabs>
        <w:rPr>
          <w:bCs/>
          <w:noProof w:val="0"/>
          <w:sz w:val="24"/>
          <w:lang w:val="en-US"/>
        </w:rPr>
      </w:pPr>
    </w:p>
    <w:p w14:paraId="430718D4" w14:textId="0A877779"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9.1.</w:t>
      </w:r>
      <w:r w:rsidR="006B1FC3">
        <w:rPr>
          <w:rFonts w:cs="Arial"/>
          <w:b/>
          <w:sz w:val="24"/>
          <w:szCs w:val="24"/>
          <w:lang w:val="en-US"/>
        </w:rPr>
        <w:t>2</w:t>
      </w:r>
      <w:r w:rsidR="00AE4E85">
        <w:rPr>
          <w:rFonts w:cs="Arial"/>
          <w:b/>
          <w:sz w:val="24"/>
          <w:szCs w:val="24"/>
          <w:lang w:val="en-US"/>
        </w:rPr>
        <w:t>.1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4D12B928"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corrections </w:t>
      </w:r>
      <w:r w:rsidR="004D724E">
        <w:rPr>
          <w:rFonts w:ascii="Arial" w:hAnsi="Arial" w:cs="Arial"/>
          <w:b/>
          <w:bCs/>
          <w:sz w:val="24"/>
        </w:rPr>
        <w:t>for</w:t>
      </w:r>
      <w:r w:rsidR="00AE4E85" w:rsidRPr="00AE4E85">
        <w:rPr>
          <w:rFonts w:ascii="Arial" w:hAnsi="Arial" w:cs="Arial"/>
          <w:b/>
          <w:bCs/>
          <w:sz w:val="24"/>
        </w:rPr>
        <w:t xml:space="preserve"> </w:t>
      </w:r>
      <w:r w:rsidR="006B1FC3">
        <w:rPr>
          <w:rFonts w:ascii="Arial" w:hAnsi="Arial" w:cs="Arial"/>
          <w:b/>
          <w:bCs/>
          <w:sz w:val="24"/>
        </w:rPr>
        <w:t>IAB</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17B5D61" w14:textId="03377DE9" w:rsidR="001643FD" w:rsidRPr="00FC10B5" w:rsidRDefault="003F1008" w:rsidP="008572DC">
      <w:pPr>
        <w:rPr>
          <w:rFonts w:ascii="Calibri" w:hAnsi="Calibri" w:cs="Calibri"/>
          <w:iCs/>
          <w:color w:val="00B050"/>
        </w:rPr>
      </w:pPr>
      <w:bookmarkStart w:id="1" w:name="_Toc474247438"/>
      <w:r>
        <w:t>This contribution discusses the</w:t>
      </w:r>
      <w:r w:rsidR="004D724E">
        <w:t xml:space="preserve"> corrections to Stage-2 </w:t>
      </w:r>
      <w:r w:rsidR="00985CD8">
        <w:t xml:space="preserve">and Stage-3 </w:t>
      </w:r>
      <w:r w:rsidR="004D724E">
        <w:t xml:space="preserve">specifications for </w:t>
      </w:r>
      <w:r w:rsidR="00985CD8">
        <w:t>IAB</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33736DB1" w14:textId="44B26940" w:rsidR="00C338E3" w:rsidRDefault="00C338E3" w:rsidP="00925F10">
      <w:pPr>
        <w:pStyle w:val="ListParagraph"/>
        <w:numPr>
          <w:ilvl w:val="0"/>
          <w:numId w:val="18"/>
        </w:numPr>
        <w:rPr>
          <w:b/>
          <w:bCs/>
        </w:rPr>
      </w:pPr>
      <w:r>
        <w:rPr>
          <w:b/>
          <w:bCs/>
        </w:rPr>
        <w:t>Stage-2 TS38.401</w:t>
      </w:r>
    </w:p>
    <w:p w14:paraId="0DEFE5FD" w14:textId="6FE73516" w:rsidR="003F2A2F" w:rsidRDefault="003F2A2F" w:rsidP="00384D87">
      <w:pPr>
        <w:ind w:left="360"/>
      </w:pPr>
      <w:r>
        <w:t xml:space="preserve">Current specification have following NOTE for the </w:t>
      </w:r>
      <w:r w:rsidR="00135E54">
        <w:t>boundary</w:t>
      </w:r>
      <w:r>
        <w:t xml:space="preserve"> IAB</w:t>
      </w:r>
      <w:r w:rsidR="00135E54">
        <w:t>-node</w:t>
      </w:r>
      <w:r>
        <w:t xml:space="preserve"> during the </w:t>
      </w:r>
      <w:r w:rsidRPr="003F2A2F">
        <w:t>IAB Inter-CU topological redundancy procedure and IAB inter-CU topology adaptation procedure</w:t>
      </w:r>
      <w:r>
        <w:t>:</w:t>
      </w:r>
    </w:p>
    <w:p w14:paraId="5E4CC073" w14:textId="77777777" w:rsidR="003F2A2F" w:rsidRPr="00E93641" w:rsidRDefault="003F2A2F" w:rsidP="003F2A2F">
      <w:pPr>
        <w:pStyle w:val="NO"/>
        <w:ind w:left="1419"/>
        <w:rPr>
          <w:rFonts w:eastAsia="宋体"/>
        </w:rPr>
      </w:pPr>
      <w:r>
        <w:rPr>
          <w:rFonts w:eastAsia="宋体"/>
        </w:rPr>
        <w:t>NOTE:</w:t>
      </w:r>
      <w:r>
        <w:rPr>
          <w:rFonts w:eastAsia="宋体"/>
        </w:rPr>
        <w:tab/>
        <w:t xml:space="preserve">The non-F1-terminating IAB-donor-CU should select the same IAB-donor-DU in its topology for all to-be-offloaded </w:t>
      </w:r>
      <w:r w:rsidRPr="00AF11A4">
        <w:rPr>
          <w:bCs/>
        </w:rPr>
        <w:t>traffic</w:t>
      </w:r>
      <w:r>
        <w:rPr>
          <w:rFonts w:eastAsia="宋体"/>
        </w:rPr>
        <w:t>, whose UL BH mappings received from the F1-terminating IAB-donor-CU in step 2 share the same BAP address.</w:t>
      </w:r>
    </w:p>
    <w:p w14:paraId="6B63192A" w14:textId="5A223F3E" w:rsidR="003F2A2F" w:rsidRDefault="003F2A2F" w:rsidP="00384D87">
      <w:pPr>
        <w:ind w:left="360"/>
      </w:pPr>
      <w:r>
        <w:t xml:space="preserve">The purpose of this NOTE is to avoid the 1:N mapping issue in the boundary IAB. However, there is no BAP header re-writing for the boundary IAB’s F1-C/U, so the 1:N mapping issue will not occur for the boundary IAB’s F1-C/U traffic. The 1:N mapping issue only happen to the descendant node’s F1 traffic. So this NOTE should be removed for the boundary IAB in the related sections. </w:t>
      </w:r>
    </w:p>
    <w:p w14:paraId="3AC0FF9A" w14:textId="3486087C" w:rsidR="00384D87" w:rsidRDefault="002C3133" w:rsidP="00384D87">
      <w:pPr>
        <w:ind w:left="360"/>
        <w:rPr>
          <w:b/>
          <w:bCs/>
        </w:rPr>
      </w:pPr>
      <w:r w:rsidRPr="002C3133">
        <w:rPr>
          <w:b/>
          <w:bCs/>
        </w:rPr>
        <w:t>Proposal 1: remove the above NOTE in the IAB Inter-CU topological redundancy procedure and IAB inter-CU topology adaptation procedure</w:t>
      </w:r>
    </w:p>
    <w:p w14:paraId="7D819856" w14:textId="42E84DD7" w:rsidR="00D01730" w:rsidRDefault="0038583A" w:rsidP="00384D87">
      <w:pPr>
        <w:ind w:left="360"/>
      </w:pPr>
      <w:r>
        <w:t>Rel-16</w:t>
      </w:r>
      <w:r w:rsidR="002D7C98">
        <w:t xml:space="preserve"> support MOBIKE in intra-CU migration procedure. </w:t>
      </w:r>
      <w:r w:rsidR="00D01730">
        <w:t xml:space="preserve">The migration IAB-node and descendant IAB(s) can perform MOBIKE procedure to </w:t>
      </w:r>
      <w:r w:rsidR="00D01730">
        <w:t xml:space="preserve">reduce the time for IPsec establishment, reuse the existing inner TNL address and existing SCTP association, </w:t>
      </w:r>
      <w:r w:rsidR="002D7BCF">
        <w:t xml:space="preserve">reuse TNL address for F1-U, </w:t>
      </w:r>
      <w:r w:rsidR="00D01730">
        <w:t>etc.</w:t>
      </w:r>
    </w:p>
    <w:p w14:paraId="36DA52F3" w14:textId="0E3F891F" w:rsidR="00ED2CBE" w:rsidRDefault="00ED2CBE" w:rsidP="00384D87">
      <w:pPr>
        <w:ind w:left="360"/>
      </w:pPr>
      <w:r>
        <w:t xml:space="preserve">During inter-CU partial migration, </w:t>
      </w:r>
      <w:r w:rsidR="0038583A">
        <w:t xml:space="preserve">the descendant IAB may not know whether it is intra-CU or inter-CU migration. When the descendant IAB receive the new TNL address, it may still initiate MOBIKE procedure. For this reason, the MOBIKE is implicitly supported in the inter-CU migration. </w:t>
      </w:r>
    </w:p>
    <w:p w14:paraId="4B89C976" w14:textId="2A9E8210" w:rsidR="00401AF0" w:rsidRDefault="0038583A" w:rsidP="00384D87">
      <w:pPr>
        <w:ind w:left="360"/>
      </w:pPr>
      <w:r>
        <w:t>So we propose to clarify</w:t>
      </w:r>
      <w:r w:rsidR="00401AF0">
        <w:t xml:space="preserve"> MOBIKE can also be used in the inter-CU migration procedure. The required procedure/function is </w:t>
      </w:r>
      <w:r>
        <w:t>same</w:t>
      </w:r>
      <w:r w:rsidR="00401AF0">
        <w:t xml:space="preserve"> as intra-CU migration, i.e. </w:t>
      </w:r>
    </w:p>
    <w:p w14:paraId="2C4EBC8D" w14:textId="77777777" w:rsidR="00401AF0" w:rsidRPr="00067CE7" w:rsidRDefault="00401AF0" w:rsidP="00401AF0">
      <w:pPr>
        <w:pStyle w:val="B10"/>
        <w:rPr>
          <w:lang w:eastAsia="ja-JP"/>
        </w:rPr>
      </w:pPr>
      <w:bookmarkStart w:id="2" w:name="_Hlk80609816"/>
      <w:r>
        <w:rPr>
          <w:lang w:eastAsia="ja-JP"/>
        </w:rPr>
        <w:tab/>
      </w:r>
      <w:r w:rsidRPr="00067CE7">
        <w:rPr>
          <w:lang w:eastAsia="ja-JP"/>
        </w:rPr>
        <w:t xml:space="preserve">In case IPsec tunnel mode is used for TNL protection, the IAB-node may use MOBIKE </w:t>
      </w:r>
      <w:r>
        <w:rPr>
          <w:lang w:eastAsia="ja-JP"/>
        </w:rPr>
        <w:t>(</w:t>
      </w:r>
      <w:r w:rsidRPr="001E73B1">
        <w:rPr>
          <w:lang w:eastAsia="ja-JP"/>
        </w:rPr>
        <w:t xml:space="preserve">IETF RFC </w:t>
      </w:r>
      <w:r>
        <w:rPr>
          <w:lang w:eastAsia="ja-JP"/>
        </w:rPr>
        <w:t>4555</w:t>
      </w:r>
      <w:r w:rsidRPr="001E73B1">
        <w:rPr>
          <w:lang w:eastAsia="ja-JP"/>
        </w:rPr>
        <w:t xml:space="preserve"> [</w:t>
      </w:r>
      <w:r>
        <w:rPr>
          <w:lang w:eastAsia="ja-JP"/>
        </w:rPr>
        <w:t>29]</w:t>
      </w:r>
      <w:r w:rsidRPr="001E73B1">
        <w:rPr>
          <w:lang w:eastAsia="ja-JP"/>
        </w:rPr>
        <w:t>)</w:t>
      </w:r>
      <w:r>
        <w:rPr>
          <w:lang w:eastAsia="ja-JP"/>
        </w:rPr>
        <w:t xml:space="preserve"> </w:t>
      </w:r>
      <w:r w:rsidRPr="00067CE7">
        <w:rPr>
          <w:lang w:eastAsia="ja-JP"/>
        </w:rPr>
        <w:t>to migrate the IPsec tunnel to the new IP outer addresses. After the completion of the MOBIKE procedure, the IAB-DU initiates a</w:t>
      </w:r>
      <w:r>
        <w:rPr>
          <w:lang w:eastAsia="ja-JP"/>
        </w:rPr>
        <w:t>n</w:t>
      </w:r>
      <w:r w:rsidRPr="00067CE7">
        <w:rPr>
          <w:lang w:eastAsia="ja-JP"/>
        </w:rPr>
        <w:t xml:space="preserve"> F1AP gNB-DU Configuration Update procedure from which the IAB-donor-CU can conclude whether the existing inner IP address(es) (e.g. for SCTP association) and the DL F-TEID can be reused.</w:t>
      </w:r>
    </w:p>
    <w:bookmarkEnd w:id="2"/>
    <w:p w14:paraId="368F7CAB" w14:textId="32578659" w:rsidR="00401AF0" w:rsidRDefault="00401AF0" w:rsidP="00384D87">
      <w:pPr>
        <w:ind w:left="360"/>
      </w:pPr>
      <w:r w:rsidRPr="002C3133">
        <w:rPr>
          <w:b/>
          <w:bCs/>
        </w:rPr>
        <w:t xml:space="preserve">Proposal </w:t>
      </w:r>
      <w:r>
        <w:rPr>
          <w:b/>
          <w:bCs/>
        </w:rPr>
        <w:t>2</w:t>
      </w:r>
      <w:r w:rsidRPr="002C3133">
        <w:rPr>
          <w:b/>
          <w:bCs/>
        </w:rPr>
        <w:t xml:space="preserve">: </w:t>
      </w:r>
      <w:r>
        <w:rPr>
          <w:b/>
          <w:bCs/>
        </w:rPr>
        <w:t>reuse MOBIKE for inter-CU migration procedure. The detail is similar as intra-CU migration procedure</w:t>
      </w:r>
      <w:r w:rsidR="00AC412B">
        <w:rPr>
          <w:b/>
          <w:bCs/>
        </w:rPr>
        <w:t>.</w:t>
      </w:r>
    </w:p>
    <w:p w14:paraId="150058C3" w14:textId="26B2131C" w:rsidR="00AE6436" w:rsidRPr="00AE6436" w:rsidRDefault="00AE6436" w:rsidP="00384D87">
      <w:pPr>
        <w:ind w:left="360"/>
      </w:pPr>
      <w:r w:rsidRPr="00AE6436">
        <w:t>The draft CR can be found in (</w:t>
      </w:r>
      <w:r w:rsidRPr="00AE6436">
        <w:fldChar w:fldCharType="begin"/>
      </w:r>
      <w:r w:rsidRPr="00AE6436">
        <w:instrText xml:space="preserve"> REF _Ref101856044 \r \h </w:instrText>
      </w:r>
      <w:r>
        <w:instrText xml:space="preserve"> \* MERGEFORMAT </w:instrText>
      </w:r>
      <w:r w:rsidRPr="00AE6436">
        <w:fldChar w:fldCharType="separate"/>
      </w:r>
      <w:r w:rsidR="00F90FB7">
        <w:t>[1]</w:t>
      </w:r>
      <w:r w:rsidRPr="00AE6436">
        <w:fldChar w:fldCharType="end"/>
      </w:r>
      <w:r w:rsidRPr="00AE6436">
        <w:t>).</w:t>
      </w:r>
    </w:p>
    <w:p w14:paraId="0B7C84B6" w14:textId="77777777" w:rsidR="00C338E3" w:rsidRPr="00C338E3" w:rsidRDefault="00C338E3" w:rsidP="00C338E3">
      <w:pPr>
        <w:rPr>
          <w:b/>
          <w:bCs/>
        </w:rPr>
      </w:pPr>
    </w:p>
    <w:p w14:paraId="6A0E8447" w14:textId="796221AA" w:rsidR="00243A4E" w:rsidRPr="009525C1" w:rsidRDefault="00C338E3" w:rsidP="00925F10">
      <w:pPr>
        <w:pStyle w:val="ListParagraph"/>
        <w:numPr>
          <w:ilvl w:val="0"/>
          <w:numId w:val="18"/>
        </w:numPr>
        <w:rPr>
          <w:b/>
          <w:bCs/>
        </w:rPr>
      </w:pPr>
      <w:r>
        <w:rPr>
          <w:b/>
          <w:bCs/>
        </w:rPr>
        <w:lastRenderedPageBreak/>
        <w:t xml:space="preserve">Stage-3 </w:t>
      </w:r>
      <w:r w:rsidR="006B1FC3">
        <w:rPr>
          <w:b/>
          <w:bCs/>
        </w:rPr>
        <w:t>TS38.473</w:t>
      </w:r>
    </w:p>
    <w:p w14:paraId="629A3848" w14:textId="77777777" w:rsidR="00AC654C" w:rsidRDefault="00C071FD" w:rsidP="00AC654C">
      <w:pPr>
        <w:ind w:left="495"/>
      </w:pPr>
      <w:r>
        <w:t xml:space="preserve">To enable the parallel TNL migration of the descendant IABs, RAN3 agreed the parent DU buffer the RRCReconfiguration and deliver the buffered RRCReconfiguration to child when a condition is met. </w:t>
      </w:r>
      <w:r w:rsidR="00AC654C">
        <w:t>The conditions are:</w:t>
      </w:r>
    </w:p>
    <w:p w14:paraId="4DD8D4D3" w14:textId="1C77400E" w:rsidR="00AC654C" w:rsidRDefault="00AC654C" w:rsidP="00AC654C">
      <w:pPr>
        <w:pStyle w:val="ListParagraph"/>
        <w:numPr>
          <w:ilvl w:val="0"/>
          <w:numId w:val="19"/>
        </w:numPr>
        <w:rPr>
          <w:rFonts w:eastAsia="MS Mincho"/>
          <w:i/>
          <w:iCs/>
          <w:lang w:eastAsia="ja-JP"/>
        </w:rPr>
      </w:pPr>
      <w:r>
        <w:rPr>
          <w:lang w:val="en-GB"/>
        </w:rPr>
        <w:t xml:space="preserve">For the migrating IAB node, </w:t>
      </w:r>
      <w:r>
        <w:t>the condition is</w:t>
      </w:r>
      <w:r>
        <w:rPr>
          <w:lang w:eastAsia="ja-JP"/>
        </w:rPr>
        <w:t xml:space="preserve"> “the random-access procedure of the collocated IAB-MT has succeeded, and the IAB-node has one or more routing entries for the target path”. </w:t>
      </w:r>
    </w:p>
    <w:p w14:paraId="27747929" w14:textId="04489199" w:rsidR="00C071FD" w:rsidRPr="00AC654C" w:rsidRDefault="00AC654C" w:rsidP="00AC654C">
      <w:pPr>
        <w:pStyle w:val="ListParagraph"/>
        <w:numPr>
          <w:ilvl w:val="0"/>
          <w:numId w:val="19"/>
        </w:numPr>
      </w:pPr>
      <w:r>
        <w:t>For the descendant IAB node, the condition is “</w:t>
      </w:r>
      <w:r w:rsidR="00C071FD" w:rsidRPr="00AC654C">
        <w:rPr>
          <w:u w:val="single"/>
          <w:lang w:eastAsia="ja-JP"/>
        </w:rPr>
        <w:t xml:space="preserve">the collocated IAB-MT has received an </w:t>
      </w:r>
      <w:r w:rsidR="00C071FD" w:rsidRPr="00AC654C">
        <w:rPr>
          <w:i/>
          <w:iCs/>
          <w:u w:val="single"/>
          <w:lang w:eastAsia="ja-JP"/>
        </w:rPr>
        <w:t xml:space="preserve">RRCReconfiguration </w:t>
      </w:r>
      <w:r w:rsidR="00C071FD" w:rsidRPr="00AC654C">
        <w:rPr>
          <w:u w:val="single"/>
          <w:lang w:eastAsia="ja-JP"/>
        </w:rPr>
        <w:t>message including the intra-donor migration configurations, e.g., new TNL address(es) and the new default UL mapping.</w:t>
      </w:r>
      <w:r>
        <w:rPr>
          <w:u w:val="single"/>
          <w:lang w:eastAsia="ja-JP"/>
        </w:rPr>
        <w:t>”</w:t>
      </w:r>
    </w:p>
    <w:p w14:paraId="56441CF3" w14:textId="37333033" w:rsidR="00C071FD" w:rsidRPr="005E3F62" w:rsidRDefault="00AC654C" w:rsidP="008616F7">
      <w:pPr>
        <w:ind w:left="495"/>
        <w:rPr>
          <w:rFonts w:eastAsiaTheme="minorEastAsia"/>
          <w:lang w:val="en-US" w:eastAsia="zh-CN"/>
        </w:rPr>
      </w:pPr>
      <w:r>
        <w:t xml:space="preserve">It only requires the routing entry available in the migrating IAB. This is not correct. The routing entry should also be available in the descendant IAB node. Otherwise, the migrating IAB cannot forward the further </w:t>
      </w:r>
      <w:r>
        <w:rPr>
          <w:i/>
          <w:iCs/>
        </w:rPr>
        <w:t xml:space="preserve">RRCReconfigurationComplete </w:t>
      </w:r>
      <w:r>
        <w:t xml:space="preserve">message received from child IAB node, and the parallel TNL migration cannot be performed. </w:t>
      </w:r>
      <w:r w:rsidR="00BA35D5">
        <w:t xml:space="preserve">The routing entry only need to be available for the default UL Routing ID. </w:t>
      </w:r>
      <w:r>
        <w:t xml:space="preserve">The IAB-donor-CU should configure the routing entry in the migrating IAB and descendant IAB nodes before the migration. </w:t>
      </w:r>
      <w:r w:rsidR="001F4A38">
        <w:t xml:space="preserve">This can be up to the IAB-donor-CU’s implementation. </w:t>
      </w:r>
      <w:r w:rsidR="00741EC6">
        <w:t>Stage-2 need to be updated to clarify the IAB-donor-CU need to configure the routing entry in the migrating IAB and descendant IABs. Stage-3 need to be updated to include the routing entry available as a condition for descendant IAB.</w:t>
      </w:r>
    </w:p>
    <w:p w14:paraId="764767F9" w14:textId="5550EA10" w:rsidR="00C071FD" w:rsidRPr="001F4A38" w:rsidRDefault="001F4A38" w:rsidP="008616F7">
      <w:pPr>
        <w:ind w:left="495"/>
        <w:rPr>
          <w:b/>
          <w:bCs/>
        </w:rPr>
      </w:pPr>
      <w:r>
        <w:rPr>
          <w:b/>
          <w:bCs/>
        </w:rPr>
        <w:t xml:space="preserve">Proposal </w:t>
      </w:r>
      <w:r w:rsidR="009B1681">
        <w:rPr>
          <w:b/>
          <w:bCs/>
        </w:rPr>
        <w:t>3</w:t>
      </w:r>
      <w:r>
        <w:rPr>
          <w:b/>
          <w:bCs/>
        </w:rPr>
        <w:t xml:space="preserve">: clarify the condition for the descendant IAB to send the buffered RRC message also includes the routing entry is available. </w:t>
      </w:r>
    </w:p>
    <w:p w14:paraId="61445E67" w14:textId="2B3A7985" w:rsidR="006B1FC3" w:rsidRDefault="00741EC6" w:rsidP="008616F7">
      <w:pPr>
        <w:ind w:left="495"/>
      </w:pPr>
      <w:r>
        <w:t xml:space="preserve">The Stage-2 TP can be found in </w:t>
      </w:r>
      <w:r w:rsidR="00D915A0">
        <w:t>(</w:t>
      </w:r>
      <w:r w:rsidR="00D915A0">
        <w:fldChar w:fldCharType="begin"/>
      </w:r>
      <w:r w:rsidR="00D915A0">
        <w:instrText xml:space="preserve"> REF _Ref101856044 \r \h </w:instrText>
      </w:r>
      <w:r w:rsidR="00D915A0">
        <w:fldChar w:fldCharType="separate"/>
      </w:r>
      <w:r w:rsidR="00F90FB7">
        <w:t>[1]</w:t>
      </w:r>
      <w:r w:rsidR="00D915A0">
        <w:fldChar w:fldCharType="end"/>
      </w:r>
      <w:r w:rsidR="00D915A0">
        <w:t>)</w:t>
      </w:r>
      <w:r>
        <w:t>. The Stage-3 TP can be found in (</w:t>
      </w:r>
      <w:r w:rsidR="00D915A0">
        <w:fldChar w:fldCharType="begin"/>
      </w:r>
      <w:r w:rsidR="00D915A0">
        <w:instrText xml:space="preserve"> REF _Ref101856039 \r \h </w:instrText>
      </w:r>
      <w:r w:rsidR="00D915A0">
        <w:fldChar w:fldCharType="separate"/>
      </w:r>
      <w:r w:rsidR="00F90FB7">
        <w:t>[3]</w:t>
      </w:r>
      <w:r w:rsidR="00D915A0">
        <w:fldChar w:fldCharType="end"/>
      </w:r>
      <w:r>
        <w:t>)</w:t>
      </w:r>
      <w:r w:rsidR="00593300">
        <w:t>.</w:t>
      </w: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3A36428F"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8E48A9">
        <w:rPr>
          <w:bCs/>
          <w:lang w:val="en-US"/>
        </w:rPr>
        <w:t xml:space="preserve">corrections required for </w:t>
      </w:r>
      <w:r w:rsidR="006B1FC3">
        <w:rPr>
          <w:bCs/>
          <w:lang w:val="en-US"/>
        </w:rPr>
        <w:t>IAB</w:t>
      </w:r>
      <w:r w:rsidR="00C4535D">
        <w:rPr>
          <w:bCs/>
          <w:lang w:val="en-US"/>
        </w:rPr>
        <w:t xml:space="preserve">. </w:t>
      </w:r>
      <w:r w:rsidRPr="0087767E">
        <w:rPr>
          <w:bCs/>
          <w:lang w:val="en-US"/>
        </w:rPr>
        <w:t>Our proposals are:</w:t>
      </w:r>
    </w:p>
    <w:p w14:paraId="0F1244C0" w14:textId="30EF617E" w:rsidR="009B1681" w:rsidRDefault="009B1681" w:rsidP="009B1681">
      <w:pPr>
        <w:ind w:left="360"/>
        <w:rPr>
          <w:b/>
          <w:bCs/>
        </w:rPr>
      </w:pPr>
      <w:r w:rsidRPr="002C3133">
        <w:rPr>
          <w:b/>
          <w:bCs/>
        </w:rPr>
        <w:t>Proposal 1: remove the above NOTE in the IAB Inter-CU topological redundancy procedure and IAB inter-CU topology adaptation procedure</w:t>
      </w:r>
    </w:p>
    <w:p w14:paraId="2C4906E5" w14:textId="77777777" w:rsidR="009B1681" w:rsidRDefault="009B1681" w:rsidP="009B1681">
      <w:pPr>
        <w:ind w:left="360"/>
      </w:pPr>
      <w:r w:rsidRPr="002C3133">
        <w:rPr>
          <w:b/>
          <w:bCs/>
        </w:rPr>
        <w:t xml:space="preserve">Proposal </w:t>
      </w:r>
      <w:r>
        <w:rPr>
          <w:b/>
          <w:bCs/>
        </w:rPr>
        <w:t>2</w:t>
      </w:r>
      <w:r w:rsidRPr="002C3133">
        <w:rPr>
          <w:b/>
          <w:bCs/>
        </w:rPr>
        <w:t xml:space="preserve">: </w:t>
      </w:r>
      <w:r>
        <w:rPr>
          <w:b/>
          <w:bCs/>
        </w:rPr>
        <w:t>reuse MOBIKE for inter-CU migration procedure. The detail is similar as intra-CU migration procedure.</w:t>
      </w:r>
    </w:p>
    <w:p w14:paraId="010BC416" w14:textId="77777777" w:rsidR="009B1681" w:rsidRPr="001F4A38" w:rsidRDefault="009B1681" w:rsidP="009B1681">
      <w:pPr>
        <w:ind w:left="360"/>
        <w:rPr>
          <w:b/>
          <w:bCs/>
        </w:rPr>
      </w:pPr>
      <w:r>
        <w:rPr>
          <w:b/>
          <w:bCs/>
        </w:rPr>
        <w:t xml:space="preserve">Proposal 3: clarify the condition for the descendant IAB to send the buffered RRC message also includes the routing entry is available. </w:t>
      </w:r>
    </w:p>
    <w:p w14:paraId="2E062B62" w14:textId="602408A3" w:rsidR="00733CEC" w:rsidRPr="00485614" w:rsidRDefault="009B1681" w:rsidP="00F90FB7">
      <w:pPr>
        <w:ind w:firstLine="284"/>
        <w:rPr>
          <w:b/>
          <w:bCs/>
        </w:rPr>
      </w:pPr>
      <w:r>
        <w:rPr>
          <w:b/>
          <w:bCs/>
        </w:rPr>
        <w:t>The draft CRs can be found in (</w:t>
      </w:r>
      <w:r w:rsidR="00A67CB7">
        <w:rPr>
          <w:b/>
          <w:bCs/>
        </w:rPr>
        <w:fldChar w:fldCharType="begin"/>
      </w:r>
      <w:r w:rsidR="00A67CB7">
        <w:rPr>
          <w:b/>
          <w:bCs/>
        </w:rPr>
        <w:instrText xml:space="preserve"> REF _Ref101856044 \r \h </w:instrText>
      </w:r>
      <w:r w:rsidR="00A67CB7">
        <w:rPr>
          <w:b/>
          <w:bCs/>
        </w:rPr>
      </w:r>
      <w:r w:rsidR="00A67CB7">
        <w:rPr>
          <w:b/>
          <w:bCs/>
        </w:rPr>
        <w:fldChar w:fldCharType="separate"/>
      </w:r>
      <w:r w:rsidR="00F90FB7">
        <w:rPr>
          <w:b/>
          <w:bCs/>
        </w:rPr>
        <w:t>[1]</w:t>
      </w:r>
      <w:r w:rsidR="00A67CB7">
        <w:rPr>
          <w:b/>
          <w:bCs/>
        </w:rPr>
        <w:fldChar w:fldCharType="end"/>
      </w:r>
      <w:r w:rsidR="00A67CB7">
        <w:rPr>
          <w:b/>
          <w:bCs/>
        </w:rPr>
        <w:fldChar w:fldCharType="begin"/>
      </w:r>
      <w:r w:rsidR="00A67CB7">
        <w:rPr>
          <w:b/>
          <w:bCs/>
        </w:rPr>
        <w:instrText xml:space="preserve"> REF _Ref101867615 \r \h </w:instrText>
      </w:r>
      <w:r w:rsidR="00A67CB7">
        <w:rPr>
          <w:b/>
          <w:bCs/>
        </w:rPr>
      </w:r>
      <w:r w:rsidR="00A67CB7">
        <w:rPr>
          <w:b/>
          <w:bCs/>
        </w:rPr>
        <w:fldChar w:fldCharType="separate"/>
      </w:r>
      <w:r w:rsidR="00F90FB7">
        <w:rPr>
          <w:b/>
          <w:bCs/>
        </w:rPr>
        <w:t>[2]</w:t>
      </w:r>
      <w:r w:rsidR="00A67CB7">
        <w:rPr>
          <w:b/>
          <w:bCs/>
        </w:rPr>
        <w:fldChar w:fldCharType="end"/>
      </w:r>
      <w:r w:rsidR="00A67CB7">
        <w:rPr>
          <w:b/>
          <w:bCs/>
        </w:rPr>
        <w:fldChar w:fldCharType="begin"/>
      </w:r>
      <w:r w:rsidR="00A67CB7">
        <w:rPr>
          <w:b/>
          <w:bCs/>
        </w:rPr>
        <w:instrText xml:space="preserve"> REF _Ref101856039 \r \h </w:instrText>
      </w:r>
      <w:r w:rsidR="00A67CB7">
        <w:rPr>
          <w:b/>
          <w:bCs/>
        </w:rPr>
      </w:r>
      <w:r w:rsidR="00A67CB7">
        <w:rPr>
          <w:b/>
          <w:bCs/>
        </w:rPr>
        <w:fldChar w:fldCharType="separate"/>
      </w:r>
      <w:r w:rsidR="00F90FB7">
        <w:rPr>
          <w:b/>
          <w:bCs/>
        </w:rPr>
        <w:t>[3]</w:t>
      </w:r>
      <w:r w:rsidR="00A67CB7">
        <w:rPr>
          <w:b/>
          <w:bCs/>
        </w:rPr>
        <w:fldChar w:fldCharType="end"/>
      </w:r>
      <w:r>
        <w:rPr>
          <w:b/>
          <w:bCs/>
        </w:rPr>
        <w:t>)</w:t>
      </w:r>
    </w:p>
    <w:p w14:paraId="483F8717" w14:textId="77777777" w:rsidR="00403B9B" w:rsidRPr="0087767E" w:rsidRDefault="00403B9B" w:rsidP="00403B9B">
      <w:pPr>
        <w:pStyle w:val="Heading1"/>
      </w:pPr>
      <w:r w:rsidRPr="0087767E">
        <w:t>References</w:t>
      </w:r>
    </w:p>
    <w:p w14:paraId="54468094" w14:textId="77777777" w:rsidR="00C071FD" w:rsidRDefault="00C071FD" w:rsidP="00C071FD">
      <w:pPr>
        <w:numPr>
          <w:ilvl w:val="0"/>
          <w:numId w:val="1"/>
        </w:numPr>
        <w:overflowPunct w:val="0"/>
        <w:autoSpaceDE w:val="0"/>
        <w:autoSpaceDN w:val="0"/>
        <w:adjustRightInd w:val="0"/>
        <w:textAlignment w:val="baseline"/>
      </w:pPr>
      <w:bookmarkStart w:id="3" w:name="_Ref101856044"/>
      <w:bookmarkStart w:id="4" w:name="_Ref84852747"/>
      <w:bookmarkStart w:id="5" w:name="_Ref84938532"/>
      <w:bookmarkStart w:id="6" w:name="_Ref101797237"/>
      <w:r>
        <w:t>R3-223251, Corrections for IAB (Stage-2)</w:t>
      </w:r>
      <w:bookmarkEnd w:id="3"/>
    </w:p>
    <w:p w14:paraId="2FBF964B" w14:textId="77777777" w:rsidR="00C071FD" w:rsidRDefault="00C071FD" w:rsidP="00C071FD">
      <w:pPr>
        <w:numPr>
          <w:ilvl w:val="0"/>
          <w:numId w:val="1"/>
        </w:numPr>
        <w:overflowPunct w:val="0"/>
        <w:autoSpaceDE w:val="0"/>
        <w:autoSpaceDN w:val="0"/>
        <w:adjustRightInd w:val="0"/>
        <w:textAlignment w:val="baseline"/>
      </w:pPr>
      <w:bookmarkStart w:id="7" w:name="_Ref101867615"/>
      <w:r>
        <w:t>R3-223252, Corrections for IAB (XnAP)</w:t>
      </w:r>
      <w:bookmarkEnd w:id="7"/>
    </w:p>
    <w:p w14:paraId="3344C653" w14:textId="63F57DA1" w:rsidR="00C071FD" w:rsidRDefault="00C071FD" w:rsidP="00C071FD">
      <w:pPr>
        <w:numPr>
          <w:ilvl w:val="0"/>
          <w:numId w:val="1"/>
        </w:numPr>
        <w:overflowPunct w:val="0"/>
        <w:autoSpaceDE w:val="0"/>
        <w:autoSpaceDN w:val="0"/>
        <w:adjustRightInd w:val="0"/>
        <w:textAlignment w:val="baseline"/>
      </w:pPr>
      <w:bookmarkStart w:id="8" w:name="_Ref101856039"/>
      <w:r>
        <w:t>R3-223253, Corrections for IAB (F1AP)</w:t>
      </w:r>
      <w:bookmarkEnd w:id="4"/>
      <w:bookmarkEnd w:id="5"/>
      <w:bookmarkEnd w:id="6"/>
      <w:bookmarkEnd w:id="8"/>
    </w:p>
    <w:sectPr w:rsidR="00C071FD"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A505" w14:textId="77777777" w:rsidR="005700DA" w:rsidRDefault="005700DA">
      <w:r>
        <w:separator/>
      </w:r>
    </w:p>
  </w:endnote>
  <w:endnote w:type="continuationSeparator" w:id="0">
    <w:p w14:paraId="5B8CA876" w14:textId="77777777" w:rsidR="005700DA" w:rsidRDefault="005700DA">
      <w:r>
        <w:continuationSeparator/>
      </w:r>
    </w:p>
  </w:endnote>
  <w:endnote w:type="continuationNotice" w:id="1">
    <w:p w14:paraId="116564B8" w14:textId="77777777" w:rsidR="005700DA" w:rsidRDefault="00570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A958" w14:textId="77777777" w:rsidR="005700DA" w:rsidRDefault="005700DA">
      <w:r>
        <w:separator/>
      </w:r>
    </w:p>
  </w:footnote>
  <w:footnote w:type="continuationSeparator" w:id="0">
    <w:p w14:paraId="552AC3B3" w14:textId="77777777" w:rsidR="005700DA" w:rsidRDefault="005700DA">
      <w:r>
        <w:continuationSeparator/>
      </w:r>
    </w:p>
  </w:footnote>
  <w:footnote w:type="continuationNotice" w:id="1">
    <w:p w14:paraId="49FFE971" w14:textId="77777777" w:rsidR="005700DA" w:rsidRDefault="005700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0C198E"/>
    <w:multiLevelType w:val="hybridMultilevel"/>
    <w:tmpl w:val="7F1CF044"/>
    <w:lvl w:ilvl="0" w:tplc="72DCD17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9"/>
  </w:num>
  <w:num w:numId="3">
    <w:abstractNumId w:val="12"/>
  </w:num>
  <w:num w:numId="4">
    <w:abstractNumId w:val="15"/>
  </w:num>
  <w:num w:numId="5">
    <w:abstractNumId w:val="5"/>
  </w:num>
  <w:num w:numId="6">
    <w:abstractNumId w:val="2"/>
  </w:num>
  <w:num w:numId="7">
    <w:abstractNumId w:val="16"/>
  </w:num>
  <w:num w:numId="8">
    <w:abstractNumId w:val="18"/>
  </w:num>
  <w:num w:numId="9">
    <w:abstractNumId w:val="1"/>
  </w:num>
  <w:num w:numId="10">
    <w:abstractNumId w:val="8"/>
  </w:num>
  <w:num w:numId="11">
    <w:abstractNumId w:val="10"/>
  </w:num>
  <w:num w:numId="12">
    <w:abstractNumId w:val="6"/>
  </w:num>
  <w:num w:numId="13">
    <w:abstractNumId w:val="14"/>
  </w:num>
  <w:num w:numId="14">
    <w:abstractNumId w:val="7"/>
  </w:num>
  <w:num w:numId="15">
    <w:abstractNumId w:val="11"/>
  </w:num>
  <w:num w:numId="16">
    <w:abstractNumId w:val="3"/>
  </w:num>
  <w:num w:numId="17">
    <w:abstractNumId w:val="13"/>
  </w:num>
  <w:num w:numId="18">
    <w:abstractNumId w:val="4"/>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B95"/>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1353"/>
    <w:rsid w:val="000A175A"/>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458F"/>
    <w:rsid w:val="000D45B6"/>
    <w:rsid w:val="000D4960"/>
    <w:rsid w:val="000D4D03"/>
    <w:rsid w:val="000D4ECB"/>
    <w:rsid w:val="000D58AB"/>
    <w:rsid w:val="000D620B"/>
    <w:rsid w:val="000D7DAA"/>
    <w:rsid w:val="000E153B"/>
    <w:rsid w:val="000E222A"/>
    <w:rsid w:val="000E2B7C"/>
    <w:rsid w:val="000E3312"/>
    <w:rsid w:val="000E5662"/>
    <w:rsid w:val="000E5B70"/>
    <w:rsid w:val="000E72CB"/>
    <w:rsid w:val="000E7400"/>
    <w:rsid w:val="000E7C5D"/>
    <w:rsid w:val="000E7E52"/>
    <w:rsid w:val="000F16C4"/>
    <w:rsid w:val="000F4440"/>
    <w:rsid w:val="000F4EBF"/>
    <w:rsid w:val="000F551E"/>
    <w:rsid w:val="000F5F84"/>
    <w:rsid w:val="000F77D5"/>
    <w:rsid w:val="001000CD"/>
    <w:rsid w:val="00100C6F"/>
    <w:rsid w:val="001011DF"/>
    <w:rsid w:val="001014BB"/>
    <w:rsid w:val="00101F3D"/>
    <w:rsid w:val="00102EAC"/>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7A6C"/>
    <w:rsid w:val="001308CC"/>
    <w:rsid w:val="001313AD"/>
    <w:rsid w:val="00131CD1"/>
    <w:rsid w:val="001326A8"/>
    <w:rsid w:val="00132931"/>
    <w:rsid w:val="00132C93"/>
    <w:rsid w:val="001335E3"/>
    <w:rsid w:val="001344D3"/>
    <w:rsid w:val="00135755"/>
    <w:rsid w:val="00135E54"/>
    <w:rsid w:val="0013680F"/>
    <w:rsid w:val="00140A8D"/>
    <w:rsid w:val="00140AF7"/>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A38"/>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902"/>
    <w:rsid w:val="002359F9"/>
    <w:rsid w:val="00235D8C"/>
    <w:rsid w:val="00237306"/>
    <w:rsid w:val="00240632"/>
    <w:rsid w:val="002407E5"/>
    <w:rsid w:val="00241375"/>
    <w:rsid w:val="0024197E"/>
    <w:rsid w:val="00242A67"/>
    <w:rsid w:val="00243A4E"/>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2D37"/>
    <w:rsid w:val="00264132"/>
    <w:rsid w:val="00264D42"/>
    <w:rsid w:val="00265C81"/>
    <w:rsid w:val="00265F20"/>
    <w:rsid w:val="00266217"/>
    <w:rsid w:val="00267F60"/>
    <w:rsid w:val="00270730"/>
    <w:rsid w:val="00270C65"/>
    <w:rsid w:val="00271230"/>
    <w:rsid w:val="00273C2E"/>
    <w:rsid w:val="002747EC"/>
    <w:rsid w:val="00274D2E"/>
    <w:rsid w:val="002769A2"/>
    <w:rsid w:val="00276FE2"/>
    <w:rsid w:val="0027759A"/>
    <w:rsid w:val="00280D7B"/>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FC8"/>
    <w:rsid w:val="0029437A"/>
    <w:rsid w:val="00294415"/>
    <w:rsid w:val="0029482D"/>
    <w:rsid w:val="0029686C"/>
    <w:rsid w:val="002972BE"/>
    <w:rsid w:val="002977E1"/>
    <w:rsid w:val="00297A37"/>
    <w:rsid w:val="002A0C86"/>
    <w:rsid w:val="002A246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133"/>
    <w:rsid w:val="002C3D2A"/>
    <w:rsid w:val="002C3E62"/>
    <w:rsid w:val="002C4C12"/>
    <w:rsid w:val="002C4C9C"/>
    <w:rsid w:val="002C54F7"/>
    <w:rsid w:val="002C6C07"/>
    <w:rsid w:val="002D075F"/>
    <w:rsid w:val="002D26EE"/>
    <w:rsid w:val="002D28EA"/>
    <w:rsid w:val="002D4886"/>
    <w:rsid w:val="002D559B"/>
    <w:rsid w:val="002D5649"/>
    <w:rsid w:val="002D5B11"/>
    <w:rsid w:val="002D7BCF"/>
    <w:rsid w:val="002D7C98"/>
    <w:rsid w:val="002E0428"/>
    <w:rsid w:val="002E0503"/>
    <w:rsid w:val="002E0B99"/>
    <w:rsid w:val="002E124D"/>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6C9D"/>
    <w:rsid w:val="003770E5"/>
    <w:rsid w:val="0037722C"/>
    <w:rsid w:val="00380699"/>
    <w:rsid w:val="00382E40"/>
    <w:rsid w:val="00383141"/>
    <w:rsid w:val="0038326F"/>
    <w:rsid w:val="00383F3C"/>
    <w:rsid w:val="00384D87"/>
    <w:rsid w:val="0038583A"/>
    <w:rsid w:val="0038731B"/>
    <w:rsid w:val="00387439"/>
    <w:rsid w:val="00387A2F"/>
    <w:rsid w:val="00391257"/>
    <w:rsid w:val="00393031"/>
    <w:rsid w:val="0039304A"/>
    <w:rsid w:val="003942E3"/>
    <w:rsid w:val="003950FA"/>
    <w:rsid w:val="003953AB"/>
    <w:rsid w:val="003955C9"/>
    <w:rsid w:val="00395FDA"/>
    <w:rsid w:val="003976C3"/>
    <w:rsid w:val="003A11B1"/>
    <w:rsid w:val="003A2643"/>
    <w:rsid w:val="003A26EA"/>
    <w:rsid w:val="003A5D91"/>
    <w:rsid w:val="003A68D5"/>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34FB"/>
    <w:rsid w:val="003D3DA7"/>
    <w:rsid w:val="003D50E6"/>
    <w:rsid w:val="003D5728"/>
    <w:rsid w:val="003D59CD"/>
    <w:rsid w:val="003D68B5"/>
    <w:rsid w:val="003D7C4B"/>
    <w:rsid w:val="003E16BE"/>
    <w:rsid w:val="003E215C"/>
    <w:rsid w:val="003E3EB7"/>
    <w:rsid w:val="003E5780"/>
    <w:rsid w:val="003E7A32"/>
    <w:rsid w:val="003E7ECD"/>
    <w:rsid w:val="003F08A0"/>
    <w:rsid w:val="003F0966"/>
    <w:rsid w:val="003F1008"/>
    <w:rsid w:val="003F1124"/>
    <w:rsid w:val="003F11E0"/>
    <w:rsid w:val="003F1A03"/>
    <w:rsid w:val="003F21E1"/>
    <w:rsid w:val="003F2A2F"/>
    <w:rsid w:val="003F2C04"/>
    <w:rsid w:val="003F39F5"/>
    <w:rsid w:val="003F51E9"/>
    <w:rsid w:val="003F5712"/>
    <w:rsid w:val="003F5B6D"/>
    <w:rsid w:val="00400DEB"/>
    <w:rsid w:val="00401855"/>
    <w:rsid w:val="00401880"/>
    <w:rsid w:val="00401AF0"/>
    <w:rsid w:val="004036C4"/>
    <w:rsid w:val="00403AFD"/>
    <w:rsid w:val="00403B9B"/>
    <w:rsid w:val="0040741B"/>
    <w:rsid w:val="0040759B"/>
    <w:rsid w:val="00407796"/>
    <w:rsid w:val="004105D1"/>
    <w:rsid w:val="00411A17"/>
    <w:rsid w:val="0041450A"/>
    <w:rsid w:val="0041566D"/>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C0D"/>
    <w:rsid w:val="00454E20"/>
    <w:rsid w:val="00456629"/>
    <w:rsid w:val="004571FF"/>
    <w:rsid w:val="00457C85"/>
    <w:rsid w:val="00457EE3"/>
    <w:rsid w:val="004603B6"/>
    <w:rsid w:val="00460D8B"/>
    <w:rsid w:val="0046100D"/>
    <w:rsid w:val="00462188"/>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5E6"/>
    <w:rsid w:val="00477373"/>
    <w:rsid w:val="00480303"/>
    <w:rsid w:val="00480550"/>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453"/>
    <w:rsid w:val="004C206C"/>
    <w:rsid w:val="004C2EF6"/>
    <w:rsid w:val="004C37A3"/>
    <w:rsid w:val="004C3944"/>
    <w:rsid w:val="004C4E76"/>
    <w:rsid w:val="004C56B5"/>
    <w:rsid w:val="004C654E"/>
    <w:rsid w:val="004C7AE9"/>
    <w:rsid w:val="004D162C"/>
    <w:rsid w:val="004D1647"/>
    <w:rsid w:val="004D19E1"/>
    <w:rsid w:val="004D3578"/>
    <w:rsid w:val="004D380D"/>
    <w:rsid w:val="004D4144"/>
    <w:rsid w:val="004D468E"/>
    <w:rsid w:val="004D4F73"/>
    <w:rsid w:val="004D599A"/>
    <w:rsid w:val="004D6880"/>
    <w:rsid w:val="004D717A"/>
    <w:rsid w:val="004D724E"/>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E01"/>
    <w:rsid w:val="00527210"/>
    <w:rsid w:val="00530762"/>
    <w:rsid w:val="005323EE"/>
    <w:rsid w:val="00533141"/>
    <w:rsid w:val="00534771"/>
    <w:rsid w:val="00534DA0"/>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0DA"/>
    <w:rsid w:val="00570503"/>
    <w:rsid w:val="00571EB2"/>
    <w:rsid w:val="00572ADE"/>
    <w:rsid w:val="005731F4"/>
    <w:rsid w:val="00573616"/>
    <w:rsid w:val="005751B1"/>
    <w:rsid w:val="005759A2"/>
    <w:rsid w:val="00575B02"/>
    <w:rsid w:val="00576820"/>
    <w:rsid w:val="0058094E"/>
    <w:rsid w:val="0058519B"/>
    <w:rsid w:val="0058588B"/>
    <w:rsid w:val="00585FBE"/>
    <w:rsid w:val="00586DC7"/>
    <w:rsid w:val="00586F17"/>
    <w:rsid w:val="0059017B"/>
    <w:rsid w:val="0059146F"/>
    <w:rsid w:val="00591568"/>
    <w:rsid w:val="00592B81"/>
    <w:rsid w:val="00593300"/>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6A8"/>
    <w:rsid w:val="005C5D69"/>
    <w:rsid w:val="005C643E"/>
    <w:rsid w:val="005C7846"/>
    <w:rsid w:val="005C7B8F"/>
    <w:rsid w:val="005D1461"/>
    <w:rsid w:val="005D53D9"/>
    <w:rsid w:val="005D74F9"/>
    <w:rsid w:val="005E1C7A"/>
    <w:rsid w:val="005E34D3"/>
    <w:rsid w:val="005E3D0F"/>
    <w:rsid w:val="005E3EA9"/>
    <w:rsid w:val="005E3F62"/>
    <w:rsid w:val="005E42F1"/>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D34"/>
    <w:rsid w:val="00682281"/>
    <w:rsid w:val="006823C1"/>
    <w:rsid w:val="00683C17"/>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1FC3"/>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27B"/>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670E"/>
    <w:rsid w:val="00737456"/>
    <w:rsid w:val="00741663"/>
    <w:rsid w:val="00741EC6"/>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3EC5"/>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1F0F"/>
    <w:rsid w:val="00783DFD"/>
    <w:rsid w:val="00787213"/>
    <w:rsid w:val="0078727C"/>
    <w:rsid w:val="00787304"/>
    <w:rsid w:val="007877A5"/>
    <w:rsid w:val="007905DB"/>
    <w:rsid w:val="00790C87"/>
    <w:rsid w:val="007934C8"/>
    <w:rsid w:val="007938C5"/>
    <w:rsid w:val="00793D3A"/>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1FF0"/>
    <w:rsid w:val="00813CDA"/>
    <w:rsid w:val="0081452D"/>
    <w:rsid w:val="0081560B"/>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3435"/>
    <w:rsid w:val="008B46CA"/>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575F"/>
    <w:rsid w:val="008D600F"/>
    <w:rsid w:val="008E0A6D"/>
    <w:rsid w:val="008E0D52"/>
    <w:rsid w:val="008E32C1"/>
    <w:rsid w:val="008E4253"/>
    <w:rsid w:val="008E458D"/>
    <w:rsid w:val="008E48A9"/>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5CD8"/>
    <w:rsid w:val="00986C58"/>
    <w:rsid w:val="009876A5"/>
    <w:rsid w:val="0099180C"/>
    <w:rsid w:val="00993B92"/>
    <w:rsid w:val="00993BBC"/>
    <w:rsid w:val="0099493E"/>
    <w:rsid w:val="00995169"/>
    <w:rsid w:val="00997D92"/>
    <w:rsid w:val="009A2927"/>
    <w:rsid w:val="009A2F34"/>
    <w:rsid w:val="009A3390"/>
    <w:rsid w:val="009A3AC7"/>
    <w:rsid w:val="009A482D"/>
    <w:rsid w:val="009A4FD4"/>
    <w:rsid w:val="009A4FD9"/>
    <w:rsid w:val="009A5190"/>
    <w:rsid w:val="009B066A"/>
    <w:rsid w:val="009B1681"/>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3159"/>
    <w:rsid w:val="00A23987"/>
    <w:rsid w:val="00A2408B"/>
    <w:rsid w:val="00A245F3"/>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3724"/>
    <w:rsid w:val="00A558C4"/>
    <w:rsid w:val="00A55E74"/>
    <w:rsid w:val="00A5694F"/>
    <w:rsid w:val="00A5718E"/>
    <w:rsid w:val="00A57826"/>
    <w:rsid w:val="00A579A3"/>
    <w:rsid w:val="00A57B79"/>
    <w:rsid w:val="00A61B7E"/>
    <w:rsid w:val="00A63CB9"/>
    <w:rsid w:val="00A647F3"/>
    <w:rsid w:val="00A6558F"/>
    <w:rsid w:val="00A657F4"/>
    <w:rsid w:val="00A6608F"/>
    <w:rsid w:val="00A66275"/>
    <w:rsid w:val="00A67CB7"/>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72"/>
    <w:rsid w:val="00AB7904"/>
    <w:rsid w:val="00AC01D1"/>
    <w:rsid w:val="00AC205B"/>
    <w:rsid w:val="00AC2C87"/>
    <w:rsid w:val="00AC30E3"/>
    <w:rsid w:val="00AC39D1"/>
    <w:rsid w:val="00AC412B"/>
    <w:rsid w:val="00AC4E7E"/>
    <w:rsid w:val="00AC654C"/>
    <w:rsid w:val="00AC726C"/>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6436"/>
    <w:rsid w:val="00AE7C17"/>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2217"/>
    <w:rsid w:val="00B1453B"/>
    <w:rsid w:val="00B15449"/>
    <w:rsid w:val="00B1723E"/>
    <w:rsid w:val="00B20517"/>
    <w:rsid w:val="00B20E47"/>
    <w:rsid w:val="00B2235D"/>
    <w:rsid w:val="00B23B71"/>
    <w:rsid w:val="00B24056"/>
    <w:rsid w:val="00B25551"/>
    <w:rsid w:val="00B25D23"/>
    <w:rsid w:val="00B25E3B"/>
    <w:rsid w:val="00B261DD"/>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62BE"/>
    <w:rsid w:val="00B56610"/>
    <w:rsid w:val="00B57106"/>
    <w:rsid w:val="00B573A0"/>
    <w:rsid w:val="00B575B7"/>
    <w:rsid w:val="00B60171"/>
    <w:rsid w:val="00B620C6"/>
    <w:rsid w:val="00B62656"/>
    <w:rsid w:val="00B62941"/>
    <w:rsid w:val="00B6400F"/>
    <w:rsid w:val="00B64F6E"/>
    <w:rsid w:val="00B66773"/>
    <w:rsid w:val="00B67516"/>
    <w:rsid w:val="00B675E5"/>
    <w:rsid w:val="00B67FC5"/>
    <w:rsid w:val="00B704B9"/>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35D5"/>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D6B85"/>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1FD"/>
    <w:rsid w:val="00C07D13"/>
    <w:rsid w:val="00C1016E"/>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38E3"/>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7E"/>
    <w:rsid w:val="00C760C9"/>
    <w:rsid w:val="00C80EDC"/>
    <w:rsid w:val="00C81DF9"/>
    <w:rsid w:val="00C82039"/>
    <w:rsid w:val="00C83902"/>
    <w:rsid w:val="00C86289"/>
    <w:rsid w:val="00C87616"/>
    <w:rsid w:val="00C92E66"/>
    <w:rsid w:val="00C93076"/>
    <w:rsid w:val="00C933D8"/>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30"/>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5A0"/>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24BA"/>
    <w:rsid w:val="00DF2732"/>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A72"/>
    <w:rsid w:val="00E46555"/>
    <w:rsid w:val="00E47BC4"/>
    <w:rsid w:val="00E506F6"/>
    <w:rsid w:val="00E5071A"/>
    <w:rsid w:val="00E51773"/>
    <w:rsid w:val="00E52EBD"/>
    <w:rsid w:val="00E55C02"/>
    <w:rsid w:val="00E568A6"/>
    <w:rsid w:val="00E569A4"/>
    <w:rsid w:val="00E57A08"/>
    <w:rsid w:val="00E6066F"/>
    <w:rsid w:val="00E609C5"/>
    <w:rsid w:val="00E61665"/>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BE"/>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6756"/>
    <w:rsid w:val="00F274FA"/>
    <w:rsid w:val="00F276BF"/>
    <w:rsid w:val="00F30616"/>
    <w:rsid w:val="00F310E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30A"/>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0FB7"/>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5E10"/>
    <w:rsid w:val="00FA755C"/>
    <w:rsid w:val="00FB03C0"/>
    <w:rsid w:val="00FB1B54"/>
    <w:rsid w:val="00FB2B6A"/>
    <w:rsid w:val="00FB49FA"/>
    <w:rsid w:val="00FB4B7E"/>
    <w:rsid w:val="00FB67A6"/>
    <w:rsid w:val="00FB69EF"/>
    <w:rsid w:val="00FB7070"/>
    <w:rsid w:val="00FC084C"/>
    <w:rsid w:val="00FC10B5"/>
    <w:rsid w:val="00FC1121"/>
    <w:rsid w:val="00FC1192"/>
    <w:rsid w:val="00FC144E"/>
    <w:rsid w:val="00FC1A80"/>
    <w:rsid w:val="00FC3533"/>
    <w:rsid w:val="00FC4C02"/>
    <w:rsid w:val="00FC526A"/>
    <w:rsid w:val="00FC5FE8"/>
    <w:rsid w:val="00FC69E4"/>
    <w:rsid w:val="00FD2415"/>
    <w:rsid w:val="00FD3586"/>
    <w:rsid w:val="00FD4DE9"/>
    <w:rsid w:val="00FD5055"/>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DD981BC"/>
    <w:rsid w:val="1E0E077C"/>
    <w:rsid w:val="390E914B"/>
    <w:rsid w:val="39A5435D"/>
    <w:rsid w:val="49756AC2"/>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F0913FDC-4C7C-4FC6-8AAF-D11AA870E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numbering" w:customStyle="1" w:styleId="12">
    <w:name w:val="无列表1"/>
    <w:next w:val="NoList"/>
    <w:uiPriority w:val="99"/>
    <w:semiHidden/>
    <w:unhideWhenUsed/>
    <w:rsid w:val="00F469E3"/>
  </w:style>
  <w:style w:type="character" w:customStyle="1" w:styleId="13">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4">
    <w:name w:val="修订1"/>
    <w:hidden/>
    <w:uiPriority w:val="99"/>
    <w:semiHidden/>
    <w:qFormat/>
    <w:rsid w:val="00F469E3"/>
    <w:pPr>
      <w:spacing w:after="160" w:line="259" w:lineRule="auto"/>
    </w:pPr>
    <w:rPr>
      <w:rFonts w:eastAsia="宋体"/>
      <w:lang w:val="en-GB" w:eastAsia="en-US"/>
    </w:rPr>
  </w:style>
  <w:style w:type="table" w:customStyle="1" w:styleId="15">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numbering" w:customStyle="1" w:styleId="23">
    <w:name w:val="无列表2"/>
    <w:next w:val="NoList"/>
    <w:uiPriority w:val="99"/>
    <w:semiHidden/>
    <w:unhideWhenUsed/>
    <w:rsid w:val="00F469E3"/>
  </w:style>
  <w:style w:type="numbering" w:customStyle="1" w:styleId="210">
    <w:name w:val="列表编号21"/>
    <w:basedOn w:val="NoList"/>
    <w:rsid w:val="00F469E3"/>
  </w:style>
  <w:style w:type="numbering" w:customStyle="1" w:styleId="110">
    <w:name w:val="项目编号11"/>
    <w:basedOn w:val="NoList"/>
    <w:rsid w:val="00F469E3"/>
  </w:style>
  <w:style w:type="table" w:customStyle="1" w:styleId="24">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numbering" w:customStyle="1" w:styleId="111">
    <w:name w:val="无列表11"/>
    <w:next w:val="NoList"/>
    <w:uiPriority w:val="99"/>
    <w:semiHidden/>
    <w:unhideWhenUsed/>
    <w:rsid w:val="00F469E3"/>
  </w:style>
  <w:style w:type="numbering" w:customStyle="1" w:styleId="211">
    <w:name w:val="列表编号211"/>
    <w:basedOn w:val="NoList"/>
    <w:rsid w:val="00F469E3"/>
  </w:style>
  <w:style w:type="numbering" w:customStyle="1" w:styleId="1110">
    <w:name w:val="项目编号111"/>
    <w:basedOn w:val="NoList"/>
    <w:rsid w:val="00F469E3"/>
  </w:style>
  <w:style w:type="table" w:customStyle="1" w:styleId="112">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NoList"/>
    <w:uiPriority w:val="99"/>
    <w:semiHidden/>
    <w:unhideWhenUsed/>
    <w:rsid w:val="00F469E3"/>
  </w:style>
  <w:style w:type="table" w:customStyle="1" w:styleId="1112">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F469E3"/>
  </w:style>
  <w:style w:type="numbering" w:customStyle="1" w:styleId="220">
    <w:name w:val="列表编号22"/>
    <w:basedOn w:val="NoList"/>
    <w:rsid w:val="00F469E3"/>
  </w:style>
  <w:style w:type="numbering" w:customStyle="1" w:styleId="120">
    <w:name w:val="项目编号12"/>
    <w:basedOn w:val="NoList"/>
    <w:rsid w:val="00F469E3"/>
  </w:style>
  <w:style w:type="table" w:customStyle="1" w:styleId="213">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uiPriority w:val="99"/>
    <w:semiHidden/>
    <w:unhideWhenUsed/>
    <w:rsid w:val="00F469E3"/>
  </w:style>
  <w:style w:type="table" w:customStyle="1" w:styleId="122">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5AIRPNAIUNRU-1156379521-2729</_dlc_DocId>
    <_dlc_DocIdUrl xmlns="71c5aaf6-e6ce-465b-b873-5148d2a4c105">
      <Url>https://nokia.sharepoint.com/sites/c5g/e2earch/_layouts/15/DocIdRedir.aspx?ID=5AIRPNAIUNRU-1156379521-2729</Url>
      <Description>5AIRPNAIUNRU-1156379521-2729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311</TotalTime>
  <Pages>2</Pages>
  <Words>745</Words>
  <Characters>4312</Characters>
  <Application>Microsoft Office Word</Application>
  <DocSecurity>0</DocSecurity>
  <Lines>86</Lines>
  <Paragraphs>36</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289</cp:revision>
  <cp:lastPrinted>2019-03-28T13:16:00Z</cp:lastPrinted>
  <dcterms:created xsi:type="dcterms:W3CDTF">2022-01-04T05:18:00Z</dcterms:created>
  <dcterms:modified xsi:type="dcterms:W3CDTF">2022-04-26T04:52:00Z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fbb07a5a-46d0-4794-b0f6-e7ad65b47a42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